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520" w:lineRule="exact"/>
      </w:pPr>
      <w:r>
        <w:rPr>
          <w:rFonts w:ascii="Arial" w:cs="Arial" w:eastAsia="Arial" w:hAnsi="Arial"/>
          <w:b/>
          <w:bCs/>
          <w:color w:val="1B1B1B"/>
          <w:sz w:val="44"/>
          <w:szCs w:val="44"/>
        </w:rPr>
        <w:t xml:space="preserve">2028 Calendar</w:t>
      </w:r>
    </w:p>
    <w:tbl>
      <w:tblPr>
        <w:tblW w:type="dxa" w:w="146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</w:tblGrid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January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February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March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April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June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July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August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September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October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November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December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Jan 17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MLK Jr.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Feb 21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Presidents'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May 29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Memorial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Jun 19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Juneteenth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Jul 4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Independence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Sep 4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Labor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Oct 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Columbus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Nov 10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Veterans Day (obs.)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Nov 23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Thanksgiving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Dec 25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Christmas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Shaded: federal holiday (observed day off). Underlined: widely observed day.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2026-10-31T14:54:09.767Z</dcterms:created>
  <dcterms:modified xsi:type="dcterms:W3CDTF">2026-10-31T14:54:09.767Z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